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4F7B2" w14:textId="77777777" w:rsidR="00F735A4" w:rsidRPr="00F73D17" w:rsidRDefault="005A40C1">
      <w:pPr>
        <w:spacing w:line="276" w:lineRule="auto"/>
        <w:jc w:val="center"/>
      </w:pPr>
      <w:r w:rsidRPr="00F73D17">
        <w:rPr>
          <w:b/>
          <w:bCs/>
          <w:sz w:val="28"/>
          <w:szCs w:val="28"/>
        </w:rPr>
        <w:t>AS SAGA GOLF</w:t>
      </w:r>
    </w:p>
    <w:p w14:paraId="7B7F3FB4" w14:textId="77777777" w:rsidR="00F735A4" w:rsidRPr="00F73D17" w:rsidRDefault="005A40C1">
      <w:pPr>
        <w:spacing w:after="360" w:line="276" w:lineRule="auto"/>
        <w:jc w:val="center"/>
      </w:pPr>
      <w:r w:rsidRPr="00F73D17">
        <w:rPr>
          <w:b/>
          <w:bCs/>
          <w:sz w:val="28"/>
          <w:szCs w:val="28"/>
        </w:rPr>
        <w:t>PÕHIKIRI</w:t>
      </w:r>
    </w:p>
    <w:p w14:paraId="5BBBC6A3" w14:textId="71049B88" w:rsidR="00F735A4" w:rsidRPr="00F73D17" w:rsidRDefault="005A40C1" w:rsidP="00F73D17">
      <w:pPr>
        <w:pStyle w:val="ListParagraph"/>
        <w:numPr>
          <w:ilvl w:val="0"/>
          <w:numId w:val="3"/>
        </w:numPr>
        <w:tabs>
          <w:tab w:val="left" w:pos="720"/>
        </w:tabs>
        <w:spacing w:before="360" w:after="240" w:line="276" w:lineRule="auto"/>
        <w:ind w:hanging="1080"/>
      </w:pPr>
      <w:r w:rsidRPr="00F73D17">
        <w:rPr>
          <w:b/>
          <w:bCs/>
        </w:rPr>
        <w:t>Ärinimi ja asukoht</w:t>
      </w:r>
    </w:p>
    <w:p w14:paraId="4DC04AEF" w14:textId="5E5B5433"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Aktsiaseltsi (edaspidi nimetatud Selts) ärinimi on AS Saga Golf.</w:t>
      </w:r>
    </w:p>
    <w:p w14:paraId="650785FE" w14:textId="467EB2C2"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Seltsi asukoht on Eesti Vabariik, Valgamaa, Otepää vald.</w:t>
      </w:r>
    </w:p>
    <w:p w14:paraId="6CAC52F0" w14:textId="4B803FC9" w:rsidR="00F735A4" w:rsidRPr="00F73D17" w:rsidRDefault="005A40C1" w:rsidP="00F73D17">
      <w:pPr>
        <w:pStyle w:val="ListParagraph"/>
        <w:numPr>
          <w:ilvl w:val="0"/>
          <w:numId w:val="3"/>
        </w:numPr>
        <w:tabs>
          <w:tab w:val="left" w:pos="720"/>
        </w:tabs>
        <w:spacing w:before="360" w:after="240" w:line="276" w:lineRule="auto"/>
        <w:ind w:hanging="1080"/>
        <w:rPr>
          <w:b/>
          <w:bCs/>
        </w:rPr>
      </w:pPr>
      <w:r w:rsidRPr="00F73D17">
        <w:rPr>
          <w:b/>
          <w:bCs/>
        </w:rPr>
        <w:t>Aktsiakapital ja aktsiad</w:t>
      </w:r>
    </w:p>
    <w:p w14:paraId="31656326" w14:textId="77777777" w:rsidR="00F73D17" w:rsidRPr="00F73D17" w:rsidRDefault="005A40C1" w:rsidP="00F73D17">
      <w:pPr>
        <w:pStyle w:val="ListParagraph"/>
        <w:numPr>
          <w:ilvl w:val="1"/>
          <w:numId w:val="3"/>
        </w:numPr>
        <w:tabs>
          <w:tab w:val="left" w:pos="720"/>
        </w:tabs>
        <w:spacing w:after="120" w:line="276" w:lineRule="auto"/>
        <w:ind w:left="709" w:hanging="709"/>
        <w:jc w:val="both"/>
      </w:pPr>
      <w:r w:rsidRPr="00F73D17">
        <w:t xml:space="preserve">Seltsi miinimumkapitali suuruseks on </w:t>
      </w:r>
      <w:r w:rsidR="00F73D17" w:rsidRPr="00F73D17">
        <w:t xml:space="preserve">32 000 </w:t>
      </w:r>
      <w:r w:rsidRPr="00F73D17">
        <w:t>(</w:t>
      </w:r>
      <w:r w:rsidR="001139A8" w:rsidRPr="00F73D17">
        <w:t xml:space="preserve">kolmkümmend </w:t>
      </w:r>
      <w:r w:rsidR="00F73D17" w:rsidRPr="00F73D17">
        <w:t xml:space="preserve">kaks </w:t>
      </w:r>
      <w:r w:rsidR="001139A8" w:rsidRPr="00F73D17">
        <w:t>tuhat</w:t>
      </w:r>
      <w:r w:rsidRPr="00F73D17">
        <w:t xml:space="preserve">) </w:t>
      </w:r>
      <w:r w:rsidR="007A6E3F" w:rsidRPr="00F73D17">
        <w:t>eurot</w:t>
      </w:r>
      <w:r w:rsidRPr="00F73D17">
        <w:t xml:space="preserve"> ja maksimumkapitali suuruseks on </w:t>
      </w:r>
      <w:r w:rsidR="00C203E5" w:rsidRPr="00F73D17">
        <w:t>12</w:t>
      </w:r>
      <w:r w:rsidR="00F73D17" w:rsidRPr="00F73D17">
        <w:t xml:space="preserve">8 000 </w:t>
      </w:r>
      <w:r w:rsidRPr="00F73D17">
        <w:t>(</w:t>
      </w:r>
      <w:r w:rsidR="001139A8" w:rsidRPr="00F73D17">
        <w:t xml:space="preserve">ükssada kakskümmend </w:t>
      </w:r>
      <w:r w:rsidR="00F73D17" w:rsidRPr="00F73D17">
        <w:t xml:space="preserve">kaheksa </w:t>
      </w:r>
      <w:r w:rsidR="001139A8" w:rsidRPr="00F73D17">
        <w:t>tuhat</w:t>
      </w:r>
      <w:r w:rsidRPr="00F73D17">
        <w:t xml:space="preserve">) </w:t>
      </w:r>
      <w:r w:rsidR="007A6E3F" w:rsidRPr="00F73D17">
        <w:t>eurot</w:t>
      </w:r>
      <w:r w:rsidRPr="00F73D17">
        <w:t>, mille piires võib Selts aktsiakapitali suurendada ja vähendada Üldkoosoleku otsusel ilma põhikirja muutmata.</w:t>
      </w:r>
    </w:p>
    <w:p w14:paraId="1BD95E08" w14:textId="77777777" w:rsidR="00F73D17" w:rsidRPr="00F73D17" w:rsidRDefault="005A40C1" w:rsidP="00F73D17">
      <w:pPr>
        <w:pStyle w:val="ListParagraph"/>
        <w:numPr>
          <w:ilvl w:val="1"/>
          <w:numId w:val="3"/>
        </w:numPr>
        <w:tabs>
          <w:tab w:val="left" w:pos="720"/>
        </w:tabs>
        <w:spacing w:after="120" w:line="276" w:lineRule="auto"/>
        <w:ind w:left="709" w:hanging="709"/>
        <w:jc w:val="both"/>
      </w:pPr>
      <w:r w:rsidRPr="00F73D17">
        <w:t>Seltsil on õigus lasta välja vahetusvõlakirju, mis annavad vahetusvõlakirja omanikule õiguse vahetada võlakiri Seltsi aktsia vastu võlakirjas märgitud tingimustel.</w:t>
      </w:r>
    </w:p>
    <w:p w14:paraId="4A25641C" w14:textId="77777777" w:rsidR="00F73D17" w:rsidRPr="00F73D17" w:rsidRDefault="005A40C1" w:rsidP="00F73D17">
      <w:pPr>
        <w:pStyle w:val="ListParagraph"/>
        <w:numPr>
          <w:ilvl w:val="1"/>
          <w:numId w:val="3"/>
        </w:numPr>
        <w:tabs>
          <w:tab w:val="left" w:pos="720"/>
        </w:tabs>
        <w:spacing w:after="120" w:line="276" w:lineRule="auto"/>
        <w:ind w:left="709" w:hanging="709"/>
        <w:jc w:val="both"/>
      </w:pPr>
      <w:r w:rsidRPr="00F73D17">
        <w:t>Seltsil on õigus lasta aktsiaid välja hinnaga, mis ületab nende nimiväärtuse (ülekurss).</w:t>
      </w:r>
    </w:p>
    <w:p w14:paraId="73501D86" w14:textId="77777777" w:rsidR="00F73D17" w:rsidRPr="00F73D17" w:rsidRDefault="005A40C1" w:rsidP="00F73D17">
      <w:pPr>
        <w:pStyle w:val="ListParagraph"/>
        <w:numPr>
          <w:ilvl w:val="1"/>
          <w:numId w:val="3"/>
        </w:numPr>
        <w:tabs>
          <w:tab w:val="left" w:pos="720"/>
        </w:tabs>
        <w:spacing w:after="120" w:line="276" w:lineRule="auto"/>
        <w:ind w:left="709" w:hanging="709"/>
        <w:jc w:val="both"/>
      </w:pPr>
      <w:r w:rsidRPr="00F73D17">
        <w:t>Seltsil on 2 (kahte) liiki erinevaid aktsiaid järgmiste õigustega:</w:t>
      </w:r>
    </w:p>
    <w:p w14:paraId="20170B3E" w14:textId="77777777" w:rsidR="00F73D17" w:rsidRPr="00F73D17" w:rsidRDefault="005A40C1" w:rsidP="00F73D17">
      <w:pPr>
        <w:pStyle w:val="ListParagraph"/>
        <w:numPr>
          <w:ilvl w:val="2"/>
          <w:numId w:val="3"/>
        </w:numPr>
        <w:tabs>
          <w:tab w:val="left" w:pos="720"/>
        </w:tabs>
        <w:spacing w:after="120" w:line="276" w:lineRule="auto"/>
        <w:ind w:left="1276" w:hanging="916"/>
        <w:jc w:val="both"/>
      </w:pPr>
      <w:r w:rsidRPr="00F73D17">
        <w:t xml:space="preserve">A-seeria aktsia nimiväärtusega </w:t>
      </w:r>
      <w:r w:rsidR="00C203E5" w:rsidRPr="00F73D17">
        <w:t>6,39</w:t>
      </w:r>
      <w:r w:rsidRPr="00F73D17">
        <w:t xml:space="preserve"> (</w:t>
      </w:r>
      <w:r w:rsidR="00C203E5" w:rsidRPr="00F73D17">
        <w:t>kuus koma kolmkümmend üheks</w:t>
      </w:r>
      <w:r w:rsidR="00A05A15" w:rsidRPr="00F73D17">
        <w:t>a</w:t>
      </w:r>
      <w:r w:rsidRPr="00F73D17">
        <w:t xml:space="preserve">) </w:t>
      </w:r>
      <w:r w:rsidR="00A05A15" w:rsidRPr="00F73D17">
        <w:t>eurot</w:t>
      </w:r>
      <w:r w:rsidRPr="00F73D17">
        <w:t>, mis annab 1 (ühe) hääle Üldkoosolekul ja 1 (ühe) nimelise mänguõiguse Seltsi golfiväljakul. Mänguõiguse iga</w:t>
      </w:r>
      <w:r w:rsidR="00F73D17" w:rsidRPr="00F73D17">
        <w:t>-</w:t>
      </w:r>
      <w:r w:rsidRPr="00F73D17">
        <w:t>aastase piiramatu kasutamise eelduseks on kõikide A-seeria aktsiaga seotud tasude maksmine vastavalt Seltsi põhikirjas sätestatud ja/või Nõukogu poolt kehtestatud tasumääradele ja korrale. A-seeria aktsiaga seotud iga</w:t>
      </w:r>
      <w:r w:rsidR="00F73D17" w:rsidRPr="00F73D17">
        <w:t>-</w:t>
      </w:r>
      <w:r w:rsidRPr="00F73D17">
        <w:t>aastaste tasude määrad, mänguõiguse kasutamise täpsed tingimused ja korra kehtestab Seltsi põhikirjas sätestatud piirmäärade ulatuses Seltsi Nõukogu. A-seeria aktsiaga seotud iga</w:t>
      </w:r>
      <w:r w:rsidR="00F73D17" w:rsidRPr="00F73D17">
        <w:t>-</w:t>
      </w:r>
      <w:r w:rsidRPr="00F73D17">
        <w:t>aastasteks tasudeks on: a) Väljaku hooldustasu, b) Mänguõiguse kasutamise tasu. Iga A-seeria aktsia omanik on kohustatud iga</w:t>
      </w:r>
      <w:r w:rsidR="00F73D17" w:rsidRPr="00F73D17">
        <w:t>-</w:t>
      </w:r>
      <w:r w:rsidRPr="00F73D17">
        <w:t xml:space="preserve">aastaselt maksma Seltsile Väljaku hooldustasu, mis ei või olla suurem kui samaks hooajaks kehtestatud viiekordne </w:t>
      </w:r>
      <w:proofErr w:type="spellStart"/>
      <w:r w:rsidRPr="00925E97">
        <w:rPr>
          <w:i/>
          <w:iCs/>
        </w:rPr>
        <w:t>green</w:t>
      </w:r>
      <w:proofErr w:type="spellEnd"/>
      <w:r w:rsidRPr="00925E97">
        <w:rPr>
          <w:i/>
          <w:iCs/>
        </w:rPr>
        <w:t xml:space="preserve"> fee</w:t>
      </w:r>
      <w:r w:rsidRPr="00F73D17">
        <w:t xml:space="preserve"> maksumus. Väljaku hooldustasu maksmisel, kuid samal hooajal Mänguõiguse kasutamise tasu mitte maksmisel, on väljaku hooldustasu maksjal õigus saada vastavas ulatuses sellel hooajal kehtivaid </w:t>
      </w:r>
      <w:proofErr w:type="spellStart"/>
      <w:r w:rsidRPr="00925E97">
        <w:rPr>
          <w:i/>
          <w:iCs/>
        </w:rPr>
        <w:t>green</w:t>
      </w:r>
      <w:proofErr w:type="spellEnd"/>
      <w:r w:rsidRPr="00925E97">
        <w:rPr>
          <w:i/>
          <w:iCs/>
        </w:rPr>
        <w:t xml:space="preserve"> </w:t>
      </w:r>
      <w:proofErr w:type="spellStart"/>
      <w:r w:rsidRPr="00925E97">
        <w:rPr>
          <w:i/>
          <w:iCs/>
        </w:rPr>
        <w:t>fee</w:t>
      </w:r>
      <w:r w:rsidRPr="00F73D17">
        <w:t>’sid</w:t>
      </w:r>
      <w:proofErr w:type="spellEnd"/>
      <w:r w:rsidRPr="00F73D17">
        <w:t xml:space="preserve">. Iga A-seeria aktsia omanik peab A-seeria aktsiaga seotud piiramatu mänguõiguse kasutamiseks vastaval hooajal maksma Seltsile selleks hooajaks kehtestatud Mänguõiguse kasutamise tasu, mis sisaldab Väljaku hooldustasu ning mis ei või olla suurem kui viiteteistkümne kordne samaks hooajaks kehtestatud </w:t>
      </w:r>
      <w:proofErr w:type="spellStart"/>
      <w:r w:rsidRPr="00925E97">
        <w:rPr>
          <w:i/>
          <w:iCs/>
        </w:rPr>
        <w:t>green</w:t>
      </w:r>
      <w:proofErr w:type="spellEnd"/>
      <w:r w:rsidRPr="00925E97">
        <w:rPr>
          <w:i/>
          <w:iCs/>
        </w:rPr>
        <w:t xml:space="preserve"> fee </w:t>
      </w:r>
      <w:r w:rsidRPr="00F73D17">
        <w:t xml:space="preserve">maksumus. Mänguõiguse kasutamise tasu maksmisel on aktsionäril või tema poolt nimetatud füüsilisel isikul õigus kasutada Seltsi golfiväljakut vastaval hooajal piiramatu arv kordi või saada Seltsi Nõukogu poolt kehtestatud ulatuses sellele hooajal kehtivaid </w:t>
      </w:r>
      <w:proofErr w:type="spellStart"/>
      <w:r w:rsidRPr="00925E97">
        <w:rPr>
          <w:i/>
          <w:iCs/>
        </w:rPr>
        <w:t>green</w:t>
      </w:r>
      <w:proofErr w:type="spellEnd"/>
      <w:r w:rsidRPr="00925E97">
        <w:rPr>
          <w:i/>
          <w:iCs/>
        </w:rPr>
        <w:t xml:space="preserve"> </w:t>
      </w:r>
      <w:proofErr w:type="spellStart"/>
      <w:r w:rsidRPr="00925E97">
        <w:rPr>
          <w:i/>
          <w:iCs/>
        </w:rPr>
        <w:t>fee</w:t>
      </w:r>
      <w:r w:rsidRPr="00F73D17">
        <w:t>’sid</w:t>
      </w:r>
      <w:proofErr w:type="spellEnd"/>
      <w:r w:rsidRPr="00F73D17">
        <w:t xml:space="preserve">. Mänguõiguse kasutamisel peab aktsionär järgima Juhatuse ja Nõukogu poolt kehtestatud reegleid ja golfiväljaku kasutamise korda. A-seeria aktsia ei </w:t>
      </w:r>
      <w:r w:rsidRPr="00F73D17">
        <w:lastRenderedPageBreak/>
        <w:t>anna õigust osaleda kasumi ja Seltsi lõpetamisel Seltsi allesjäänud vara jaotamisel.</w:t>
      </w:r>
      <w:r w:rsidR="00F73D17" w:rsidRPr="00F73D17">
        <w:t xml:space="preserve"> </w:t>
      </w:r>
    </w:p>
    <w:p w14:paraId="4B10E2FA" w14:textId="1BC83674"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 xml:space="preserve">B-seeria aktsia nimiväärtusega </w:t>
      </w:r>
      <w:r w:rsidR="00817C67" w:rsidRPr="00F73D17">
        <w:t>639,12</w:t>
      </w:r>
      <w:r w:rsidRPr="00F73D17">
        <w:t xml:space="preserve"> (</w:t>
      </w:r>
      <w:r w:rsidR="00C203E5" w:rsidRPr="00F73D17">
        <w:t>kuussada kolmkümmend üheksa koma kaksteist</w:t>
      </w:r>
      <w:r w:rsidRPr="00F73D17">
        <w:t xml:space="preserve">) </w:t>
      </w:r>
      <w:r w:rsidR="00817C67" w:rsidRPr="00F73D17">
        <w:t>eurot</w:t>
      </w:r>
      <w:r w:rsidRPr="00F73D17">
        <w:t>, mis annab 100 (</w:t>
      </w:r>
      <w:r w:rsidR="00F73D17" w:rsidRPr="00F73D17">
        <w:t>üks</w:t>
      </w:r>
      <w:r w:rsidRPr="00F73D17">
        <w:t>sada) häält Üldkoosolekul ning õiguse osaleda kasumi ja Seltsi lõpetamisel allesjäänud vara jaotamisel. B-seeria aktsia ei anna mänguõigust Seltsi golfiväljakul.</w:t>
      </w:r>
    </w:p>
    <w:p w14:paraId="61E067CF" w14:textId="3D033388" w:rsidR="00F735A4" w:rsidRPr="00F73D17" w:rsidRDefault="00F73D17" w:rsidP="00F73D17">
      <w:pPr>
        <w:pStyle w:val="ListParagraph"/>
        <w:numPr>
          <w:ilvl w:val="0"/>
          <w:numId w:val="3"/>
        </w:numPr>
        <w:tabs>
          <w:tab w:val="left" w:pos="720"/>
        </w:tabs>
        <w:spacing w:before="360" w:after="240" w:line="276" w:lineRule="auto"/>
        <w:ind w:hanging="1080"/>
        <w:rPr>
          <w:b/>
          <w:bCs/>
        </w:rPr>
      </w:pPr>
      <w:r w:rsidRPr="00F73D17">
        <w:rPr>
          <w:b/>
          <w:bCs/>
        </w:rPr>
        <w:t>J</w:t>
      </w:r>
      <w:r w:rsidR="005A40C1" w:rsidRPr="00F73D17">
        <w:rPr>
          <w:b/>
          <w:bCs/>
        </w:rPr>
        <w:t>uhtimine</w:t>
      </w:r>
    </w:p>
    <w:p w14:paraId="78FB6BFA" w14:textId="3070FAAA"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b/>
        <w:t>Seltsi juhtimisorganid on:</w:t>
      </w:r>
    </w:p>
    <w:p w14:paraId="606A58B8" w14:textId="648422A0"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Seltsi aktsionäride Üldkoosolek (eelpool ja edaspidi nimetatud Üldkoosolek);</w:t>
      </w:r>
    </w:p>
    <w:p w14:paraId="6ADA7145" w14:textId="663E6CBC"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Seltsi Nõukogu (</w:t>
      </w:r>
      <w:r w:rsidR="00F73D17" w:rsidRPr="00F73D17">
        <w:t xml:space="preserve">eelpool ja </w:t>
      </w:r>
      <w:r w:rsidRPr="00F73D17">
        <w:t>edaspidi nimetatud Nõukogu);</w:t>
      </w:r>
    </w:p>
    <w:p w14:paraId="59384985" w14:textId="62D403A8"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Seltsi Juhatus (eelpool ja edaspidi nimetatud Juhatus).</w:t>
      </w:r>
    </w:p>
    <w:p w14:paraId="5F694B0E" w14:textId="77777777" w:rsidR="00F735A4" w:rsidRPr="00F73D17" w:rsidRDefault="005A40C1">
      <w:pPr>
        <w:spacing w:before="300" w:after="200" w:line="276" w:lineRule="auto"/>
        <w:ind w:left="720"/>
      </w:pPr>
      <w:r w:rsidRPr="00F73D17">
        <w:rPr>
          <w:u w:val="single"/>
        </w:rPr>
        <w:t>Üldkoosolek</w:t>
      </w:r>
    </w:p>
    <w:p w14:paraId="65714CD2" w14:textId="5E79EFAE"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b/>
        <w:t>Üldkoosolek on Seltsi kõrgeim juhtorgan.</w:t>
      </w:r>
      <w:r w:rsidR="00F73D17">
        <w:t xml:space="preserve"> Aktsionärid võivad otsuseid vastu võtta ka Üldkoosolekut kokku kutsumata äriseadustikus sätestatud korras või vormistades otsuse kirjalikult kõigi aktsionäride allkirjadega äriseadustikus sätestatud korras. </w:t>
      </w:r>
    </w:p>
    <w:p w14:paraId="469D1457" w14:textId="7BB41A4E"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b/>
        <w:t>Korralised Üldkoosolekud toimuvad 1 (üks) kord aastas 6 (kuue) kuu jooksul Seltsi majandusaasta lõppemisest Juhatuse poolt määratud ajal ja kohas Eesti Vabariigis. Erakorraline Üldkoosolek kutsutakse kokku seaduses ja põhikirjas sätestatud juhtudel.</w:t>
      </w:r>
    </w:p>
    <w:p w14:paraId="132237B5" w14:textId="32FEC3FC"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b/>
        <w:t>Erakorralise ja korralise Üldkoosoleku kutsub kokku Juhatus, teatades aktsionäridele kirjalikult ette korralisest Üldkoosolekust vähemalt 3 (kolm) nädalat ja erakorralisest Üldkoosolekust vähemalt 1 (ühe) nädala.</w:t>
      </w:r>
    </w:p>
    <w:p w14:paraId="22BFD606" w14:textId="423550E8"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b/>
        <w:t>Juhatus saadab Üldkoosoleku kokkukutsumise teate kõigile aktsionäridele. Kui Seltsil on üle 50 (viiekümne) aktsionäri, siis ei pea aktsionäridele teateid saatma, kuid Üldkoosoleku toimumise teade tuleb avaldada vähemalt ühes üleriigilise levikuga päevalehes.</w:t>
      </w:r>
    </w:p>
    <w:p w14:paraId="348271A8" w14:textId="33938797"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b/>
        <w:t>Üldkoosoleku kokkukutsumise teate võib edastada ka lihtkirjana, faksi teel või elektrooniliselt, kui kirjale või faksile või teate elektroonilise edastamise korral on lisatud teatis dokumendi kättesaamise kinnituse viivitamatu tagastamise kohustuse kohta. Teade loetakse lihtkirja või faksi teel või elektrooniliselt kätte toimetatuks, kui saaja tagastab Juhatusele dokumendi kättesaamise kohta kinnituse omal valikul kirjalikult, faksiga või elektrooniliselt.</w:t>
      </w:r>
    </w:p>
    <w:p w14:paraId="0B4F0CD5" w14:textId="21A9ACBB"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b/>
        <w:t>Üldkoosolek võib vastu võtta otsuseid, kui Üldkoosolekul osalevate aktsionäride poolt on esindatud üle poole kõikide aktsiatega esindatud häältest, kui seadusega ei ole ette nähtud suurema häälteenamuse nõuet. Kui Üldkoosolek osutub otsustusvõimetuks, kutsub juhatus kolme nädala jooksul, kuid mitte varem kui seitsme päeva pärast kokku uue Üldkoosoleku sama päevakorraga. Uus Üldkoosolek on pädev vastu võtma otsuseid sõltumata Üld</w:t>
      </w:r>
      <w:r w:rsidR="00F73D17" w:rsidRPr="00F73D17">
        <w:t>k</w:t>
      </w:r>
      <w:r w:rsidRPr="00F73D17">
        <w:t>oosolekul esindatud häältest.</w:t>
      </w:r>
    </w:p>
    <w:p w14:paraId="72ABEFD6" w14:textId="093F083E"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lastRenderedPageBreak/>
        <w:tab/>
        <w:t>Üldkoosoleku pädevuses on:</w:t>
      </w:r>
    </w:p>
    <w:p w14:paraId="491CE83E" w14:textId="35BDF01B"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põhikirja muutmine;</w:t>
      </w:r>
    </w:p>
    <w:p w14:paraId="750663F8" w14:textId="037746E9"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aktsiakapitali suurendamine ja vähendamine;</w:t>
      </w:r>
    </w:p>
    <w:p w14:paraId="11360BF2" w14:textId="5301BF5B"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vahetusvõlakirjade väljalaskmine;</w:t>
      </w:r>
    </w:p>
    <w:p w14:paraId="6174F74A" w14:textId="48A6E69A"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nõukogu liikmete valimine ja tagasikutsumine;</w:t>
      </w:r>
    </w:p>
    <w:p w14:paraId="5F3FAA72" w14:textId="794DA88A"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audiitori valimine;</w:t>
      </w:r>
    </w:p>
    <w:p w14:paraId="287ACC14" w14:textId="23C2E039"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erikontrolli määramine;</w:t>
      </w:r>
    </w:p>
    <w:p w14:paraId="09F3EDFD" w14:textId="1992395B"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majandusaasta aruande kinnitamine ja kasumi jaotamine;</w:t>
      </w:r>
    </w:p>
    <w:p w14:paraId="6DFDCAC4" w14:textId="0436F150"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aktsiaseltsi lõpetamise, ühinemise, jagunemise ja ümberkujundamise otsustamine;</w:t>
      </w:r>
    </w:p>
    <w:p w14:paraId="3C58A276" w14:textId="4A6E4B9E"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nõukogu liikmega tehingu tegemise otsustamine, tehingu tingimuste määramine, õigusvaidluse pidamise otsustamine ning selles tehingus või vaidluses aktsiaseltsi esindaja määramine;</w:t>
      </w:r>
    </w:p>
    <w:p w14:paraId="2F5D5A04" w14:textId="2C99E1D7"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muude seadusega üldkoosoleku pädevusse antud küsimuste otsustamine.</w:t>
      </w:r>
    </w:p>
    <w:p w14:paraId="2B531A6E" w14:textId="311DDEC5"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b/>
        <w:t>Teistes aktsiaseltsi tegevusega seotud küsimustes võib üldkoosolek otsuse vastu võtta juhatuse või nõukogu nõudel. Sellistel asjaoludel tehtud otsuse tegemisega tekitatud kahju eest vastutavad aktsionärid solidaarselt nagu juhatuse või nõukogu liikmed.</w:t>
      </w:r>
    </w:p>
    <w:p w14:paraId="2E29B2AC" w14:textId="77777777" w:rsidR="00F735A4" w:rsidRPr="00F73D17" w:rsidRDefault="005A40C1">
      <w:pPr>
        <w:spacing w:before="300" w:after="200" w:line="276" w:lineRule="auto"/>
        <w:ind w:left="720"/>
      </w:pPr>
      <w:r w:rsidRPr="00F73D17">
        <w:rPr>
          <w:u w:val="single"/>
        </w:rPr>
        <w:t>Nõukogu</w:t>
      </w:r>
    </w:p>
    <w:p w14:paraId="38FFA995" w14:textId="77777777" w:rsidR="00F73D17" w:rsidRDefault="005A40C1" w:rsidP="00F73D17">
      <w:pPr>
        <w:pStyle w:val="ListParagraph"/>
        <w:numPr>
          <w:ilvl w:val="1"/>
          <w:numId w:val="3"/>
        </w:numPr>
        <w:tabs>
          <w:tab w:val="left" w:pos="720"/>
        </w:tabs>
        <w:spacing w:after="120" w:line="276" w:lineRule="auto"/>
        <w:ind w:left="709" w:hanging="709"/>
        <w:jc w:val="both"/>
      </w:pPr>
      <w:r w:rsidRPr="00F73D17">
        <w:tab/>
        <w:t>Seltsil on 3 (kolme) kuni 5 (viie) liikmeline Nõukogu, mille liikmed valib ja kutsub tagasi Üldkoosolek. Nõukogu liikmed valitakse viieks (5) aastaks. Nõukogu liikmed valivad endi hulgast esimehe, kes korraldab Nõukogu tegevust.</w:t>
      </w:r>
    </w:p>
    <w:p w14:paraId="5FBE6967" w14:textId="77777777" w:rsidR="00F73D17" w:rsidRDefault="005A40C1" w:rsidP="00F73D17">
      <w:pPr>
        <w:pStyle w:val="ListParagraph"/>
        <w:numPr>
          <w:ilvl w:val="1"/>
          <w:numId w:val="3"/>
        </w:numPr>
        <w:tabs>
          <w:tab w:val="left" w:pos="720"/>
        </w:tabs>
        <w:spacing w:after="120" w:line="276" w:lineRule="auto"/>
        <w:ind w:left="709" w:hanging="709"/>
        <w:jc w:val="both"/>
      </w:pPr>
      <w:r w:rsidRPr="00F73D17">
        <w:t>Nõukogu planeerib Seltsi tegevust, korraldab Seltsi üldist juhtimist ning teostab järelevalvet Juhatuse tegevuse üle.</w:t>
      </w:r>
      <w:r w:rsidR="00F73D17">
        <w:t xml:space="preserve"> Nõukogu võib otsuseid vastu võtta koosolekul, koosolekut kokku kutsumata äriseadustikus sätestatud korras või vormistades otsuse kirjalikult kõigi nõukogu liikmete allkirjadega äriseadustikus sätestatud korras.</w:t>
      </w:r>
    </w:p>
    <w:p w14:paraId="016626A8" w14:textId="77777777" w:rsidR="00F73D17" w:rsidRDefault="005A40C1" w:rsidP="00F73D17">
      <w:pPr>
        <w:pStyle w:val="ListParagraph"/>
        <w:numPr>
          <w:ilvl w:val="1"/>
          <w:numId w:val="3"/>
        </w:numPr>
        <w:tabs>
          <w:tab w:val="left" w:pos="720"/>
        </w:tabs>
        <w:spacing w:after="120" w:line="276" w:lineRule="auto"/>
        <w:ind w:left="709" w:hanging="709"/>
        <w:jc w:val="both"/>
      </w:pPr>
      <w:r w:rsidRPr="00F73D17">
        <w:t>Nõukogu koosolekud toimuvad vastavalt vajadusele, kuid mitte harvem kui üks kord kolme kuu jooksul. Koosoleku kutsub kokku nõukogu esimees või teda asendav nõukogu liige. Koosoleku toimumisest ja selle päevakorrast tuleb ette teatada vähemalt üks päev. Nõukogu võib vastu võtta otsuseid ka koosolekut kokku kutsumata, kui sellega on nõus kõik Nõukogu liikmed.</w:t>
      </w:r>
    </w:p>
    <w:p w14:paraId="4EE88F79" w14:textId="77777777" w:rsidR="00F73D17" w:rsidRDefault="005A40C1" w:rsidP="00F73D17">
      <w:pPr>
        <w:pStyle w:val="ListParagraph"/>
        <w:numPr>
          <w:ilvl w:val="1"/>
          <w:numId w:val="3"/>
        </w:numPr>
        <w:tabs>
          <w:tab w:val="left" w:pos="720"/>
        </w:tabs>
        <w:spacing w:after="120" w:line="276" w:lineRule="auto"/>
        <w:ind w:left="709" w:hanging="709"/>
        <w:jc w:val="both"/>
      </w:pPr>
      <w:r w:rsidRPr="00F73D17">
        <w:t>Nõukogu koosolek on otsustusvõimeline, kui sellest võtavad osa üle poole Nõukogu liikmetest. Juhatuse liikmed võivad osaleda Nõukogu koosolekutel Nõukogu nõusolekul hääleõiguseta. Nõukogu liiget ei või koosolekul ega otsuse tegemisel esindada teine nõukogu liige ega kolmas isik.</w:t>
      </w:r>
    </w:p>
    <w:p w14:paraId="2F484C96" w14:textId="77777777" w:rsidR="00F73D17" w:rsidRDefault="005A40C1" w:rsidP="00F73D17">
      <w:pPr>
        <w:pStyle w:val="ListParagraph"/>
        <w:numPr>
          <w:ilvl w:val="1"/>
          <w:numId w:val="3"/>
        </w:numPr>
        <w:tabs>
          <w:tab w:val="left" w:pos="720"/>
        </w:tabs>
        <w:spacing w:after="120" w:line="276" w:lineRule="auto"/>
        <w:ind w:left="709" w:hanging="709"/>
        <w:jc w:val="both"/>
      </w:pPr>
      <w:r w:rsidRPr="00F73D17">
        <w:lastRenderedPageBreak/>
        <w:t xml:space="preserve">Nõukogu otsus on vastu võetud, kui selle poolt hääletab üle poole koosolekul osalenud Nõukogu liikmetest. Nõukogu otsus, mis tehakse ilma koosolekut kokku kutsumata, on vastu võetud, kui selle poolt hääletavad </w:t>
      </w:r>
      <w:r w:rsidR="00F73D17">
        <w:t xml:space="preserve">üle poole </w:t>
      </w:r>
      <w:r w:rsidRPr="00F73D17">
        <w:t>Nõukogu liikme</w:t>
      </w:r>
      <w:r w:rsidR="00F73D17">
        <w:t>test</w:t>
      </w:r>
      <w:r w:rsidRPr="00F73D17">
        <w:t>.</w:t>
      </w:r>
    </w:p>
    <w:p w14:paraId="1EB3BCE7" w14:textId="77777777" w:rsidR="00F73D17" w:rsidRDefault="005A40C1" w:rsidP="00F73D17">
      <w:pPr>
        <w:pStyle w:val="ListParagraph"/>
        <w:numPr>
          <w:ilvl w:val="1"/>
          <w:numId w:val="3"/>
        </w:numPr>
        <w:tabs>
          <w:tab w:val="left" w:pos="720"/>
        </w:tabs>
        <w:spacing w:after="120" w:line="276" w:lineRule="auto"/>
        <w:ind w:left="709" w:hanging="709"/>
        <w:jc w:val="both"/>
      </w:pPr>
      <w:r w:rsidRPr="00F73D17">
        <w:t>Kõikide seltsi tegevuse suhtes olulist tähendust omavates küsimustes, mis ei ole Üldkoosoleku pädevuses ja mis väljuvad igapäevase majandustegevuse raamidest, on vajalik Nõukogu nõusolek, sealhulgas:</w:t>
      </w:r>
    </w:p>
    <w:p w14:paraId="7A819930" w14:textId="77777777" w:rsidR="00F73D17" w:rsidRDefault="005A40C1" w:rsidP="00F73D17">
      <w:pPr>
        <w:pStyle w:val="ListParagraph"/>
        <w:numPr>
          <w:ilvl w:val="2"/>
          <w:numId w:val="3"/>
        </w:numPr>
        <w:tabs>
          <w:tab w:val="left" w:pos="720"/>
        </w:tabs>
        <w:spacing w:after="120" w:line="276" w:lineRule="auto"/>
        <w:ind w:left="1276" w:hanging="916"/>
        <w:jc w:val="both"/>
      </w:pPr>
      <w:r w:rsidRPr="00F73D17">
        <w:t>mis tahes kestvuslepingute sõlmimine, mille kehtivusajaks on enam kui 1 (üks) aasta;</w:t>
      </w:r>
    </w:p>
    <w:p w14:paraId="30D8C0F1" w14:textId="77777777" w:rsidR="00F73D17" w:rsidRDefault="005A40C1" w:rsidP="00F73D17">
      <w:pPr>
        <w:pStyle w:val="ListParagraph"/>
        <w:numPr>
          <w:ilvl w:val="2"/>
          <w:numId w:val="3"/>
        </w:numPr>
        <w:tabs>
          <w:tab w:val="left" w:pos="720"/>
        </w:tabs>
        <w:spacing w:after="120" w:line="276" w:lineRule="auto"/>
        <w:ind w:left="1276" w:hanging="916"/>
        <w:jc w:val="both"/>
      </w:pPr>
      <w:r w:rsidRPr="00F73D17">
        <w:t>mis tahes lepingute sõlmimine, mis võib omada olulist negatiivset mõju Seltsi eelarvele või rahavoole;</w:t>
      </w:r>
    </w:p>
    <w:p w14:paraId="3AD5E23A" w14:textId="77777777" w:rsidR="00F73D17" w:rsidRDefault="005A40C1" w:rsidP="00F73D17">
      <w:pPr>
        <w:pStyle w:val="ListParagraph"/>
        <w:numPr>
          <w:ilvl w:val="2"/>
          <w:numId w:val="3"/>
        </w:numPr>
        <w:tabs>
          <w:tab w:val="left" w:pos="720"/>
        </w:tabs>
        <w:spacing w:after="120" w:line="276" w:lineRule="auto"/>
        <w:ind w:left="1276" w:hanging="916"/>
        <w:jc w:val="both"/>
      </w:pPr>
      <w:r w:rsidRPr="00F73D17">
        <w:t>mis tahes lepingute sõlmimine, mis on vastuolus Üldkoosoleku või Nõukogu poolt vastuvõetud otsustega;</w:t>
      </w:r>
    </w:p>
    <w:p w14:paraId="44DECE1A" w14:textId="77777777" w:rsidR="00F73D17" w:rsidRDefault="005A40C1" w:rsidP="00F73D17">
      <w:pPr>
        <w:pStyle w:val="ListParagraph"/>
        <w:numPr>
          <w:ilvl w:val="2"/>
          <w:numId w:val="3"/>
        </w:numPr>
        <w:tabs>
          <w:tab w:val="left" w:pos="720"/>
        </w:tabs>
        <w:spacing w:after="120" w:line="276" w:lineRule="auto"/>
        <w:ind w:left="1276" w:hanging="916"/>
        <w:jc w:val="both"/>
      </w:pPr>
      <w:r w:rsidRPr="00F73D17">
        <w:t>osaluse omandamine ja lõpetamine teistes äriühingutes;</w:t>
      </w:r>
    </w:p>
    <w:p w14:paraId="75DD52A4" w14:textId="77777777" w:rsidR="00F73D17" w:rsidRDefault="005A40C1" w:rsidP="00F73D17">
      <w:pPr>
        <w:pStyle w:val="ListParagraph"/>
        <w:numPr>
          <w:ilvl w:val="2"/>
          <w:numId w:val="3"/>
        </w:numPr>
        <w:tabs>
          <w:tab w:val="left" w:pos="720"/>
        </w:tabs>
        <w:spacing w:after="120" w:line="276" w:lineRule="auto"/>
        <w:ind w:left="1276" w:hanging="916"/>
        <w:jc w:val="both"/>
      </w:pPr>
      <w:r w:rsidRPr="00F73D17">
        <w:t>ettevõtte omandamine, võõrandamine või selle tegevuse lõpetamine;</w:t>
      </w:r>
    </w:p>
    <w:p w14:paraId="47299AF5" w14:textId="77777777" w:rsidR="00F73D17" w:rsidRDefault="005A40C1" w:rsidP="00F73D17">
      <w:pPr>
        <w:pStyle w:val="ListParagraph"/>
        <w:numPr>
          <w:ilvl w:val="2"/>
          <w:numId w:val="3"/>
        </w:numPr>
        <w:tabs>
          <w:tab w:val="left" w:pos="720"/>
        </w:tabs>
        <w:spacing w:after="120" w:line="276" w:lineRule="auto"/>
        <w:ind w:left="1276" w:hanging="916"/>
        <w:jc w:val="both"/>
      </w:pPr>
      <w:r w:rsidRPr="00F73D17">
        <w:t>kinnisasjade ja registrisse kantud vallasasjade võõrandamine ja koormamine;</w:t>
      </w:r>
    </w:p>
    <w:p w14:paraId="6F5096C1" w14:textId="77777777" w:rsidR="00F73D17" w:rsidRDefault="005A40C1" w:rsidP="00F73D17">
      <w:pPr>
        <w:pStyle w:val="ListParagraph"/>
        <w:numPr>
          <w:ilvl w:val="2"/>
          <w:numId w:val="3"/>
        </w:numPr>
        <w:tabs>
          <w:tab w:val="left" w:pos="720"/>
        </w:tabs>
        <w:spacing w:after="120" w:line="276" w:lineRule="auto"/>
        <w:ind w:left="1276" w:hanging="916"/>
        <w:jc w:val="both"/>
      </w:pPr>
      <w:r w:rsidRPr="00F73D17">
        <w:t>filiaalide asutamine ja sulgemine;</w:t>
      </w:r>
    </w:p>
    <w:p w14:paraId="70BD10FD" w14:textId="6CA0C91F"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investeeringute tegemine ulatuses, mis ületab eelarves selleks ettenähtud summat;</w:t>
      </w:r>
    </w:p>
    <w:p w14:paraId="2041A5A9" w14:textId="61D847DD"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laenude andmine ja kohustuste tagamine;</w:t>
      </w:r>
    </w:p>
    <w:p w14:paraId="117CFFAA" w14:textId="4DAAC5D1"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seltsi eelarve ja äriplaani kinnitamine, sh aktsionäride mänguõigustega seotud tasude kinnitamine;</w:t>
      </w:r>
    </w:p>
    <w:p w14:paraId="0368EA3D" w14:textId="7B58CDC5"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aktsiatest tulenevate Väljaku hooldustasude ja Mänguõiguse kasutamise tasude suuruste, täpsema kasutamise korra ning tingimuste kehtestamine;</w:t>
      </w:r>
    </w:p>
    <w:p w14:paraId="6AEED297" w14:textId="202A2BB0"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Seltsi huvides mõjuval põhjusel aktsionäride vabastamine aktsiaga seotud tasude maksmise kohustustest;</w:t>
      </w:r>
    </w:p>
    <w:p w14:paraId="6711E00B" w14:textId="1C99B908"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Seltsi ja Juhatuse vaheliste tehingute sõlmimine, õigusvaidluste pidamine Seltsi ja Juhatuse vahel ning nendes Seltsi esindaja määramine;</w:t>
      </w:r>
    </w:p>
    <w:p w14:paraId="33CCE322" w14:textId="78550C5A"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Nõukogul on õigus suurendada Seltsi aktsiakapitali sissemaksete tegemisega kolme (3) aasta jooksul alates käesoleva põhikirja redaktsiooni kehtima hakkamisest ning registreerimisest äriregistris. Aktsiakapitali ei või suurendada rohkem kui pool Seltsi aktsiakapitalist, mis on ajal, kui Nõukogu saab õiguse suurendada aktsiakapitali. Nõukogu poolt väljalastud aktsiate eest võib tasuda nii rahalise kui mitterahalise sissemakse teel.</w:t>
      </w:r>
    </w:p>
    <w:p w14:paraId="563260B9" w14:textId="7ADE557E"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Väljaku iga</w:t>
      </w:r>
      <w:r w:rsidR="00F73D17">
        <w:t>-</w:t>
      </w:r>
      <w:r w:rsidRPr="00F73D17">
        <w:t>aastase hooldustasu maksma jätnud aktsionäride tühistamise ettepaneku esitamine Üldkoosolekule.</w:t>
      </w:r>
    </w:p>
    <w:p w14:paraId="65B57D16" w14:textId="7C464999" w:rsidR="00F735A4" w:rsidRPr="00F73D17" w:rsidRDefault="005A40C1" w:rsidP="00F73D17">
      <w:pPr>
        <w:pStyle w:val="ListParagraph"/>
        <w:numPr>
          <w:ilvl w:val="2"/>
          <w:numId w:val="3"/>
        </w:numPr>
        <w:tabs>
          <w:tab w:val="left" w:pos="720"/>
        </w:tabs>
        <w:spacing w:after="120" w:line="276" w:lineRule="auto"/>
        <w:ind w:left="1276" w:hanging="916"/>
        <w:jc w:val="both"/>
      </w:pPr>
      <w:r w:rsidRPr="00F73D17">
        <w:t>muud seaduses ettenähtud juhud.</w:t>
      </w:r>
    </w:p>
    <w:p w14:paraId="7E8C93B3" w14:textId="77777777" w:rsidR="00F735A4" w:rsidRPr="00F73D17" w:rsidRDefault="005A40C1">
      <w:pPr>
        <w:spacing w:before="300" w:after="200" w:line="276" w:lineRule="auto"/>
        <w:ind w:left="720"/>
      </w:pPr>
      <w:r w:rsidRPr="00F73D17">
        <w:rPr>
          <w:u w:val="single"/>
        </w:rPr>
        <w:t>Juhatus</w:t>
      </w:r>
    </w:p>
    <w:p w14:paraId="720B2AA4" w14:textId="5F5307A8"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lastRenderedPageBreak/>
        <w:t xml:space="preserve">Seltsil on 1 (ühe) kuni 3 (kolme) liikmeline Juhatus, mille liikmed valib Nõukogu </w:t>
      </w:r>
      <w:r w:rsidR="00F73D17">
        <w:t xml:space="preserve">kuni viieks </w:t>
      </w:r>
      <w:r w:rsidRPr="00F73D17">
        <w:t>aastaks.</w:t>
      </w:r>
    </w:p>
    <w:p w14:paraId="316FD615" w14:textId="7C7706F7"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Kui Juhatuses on kaks või enam liiget, nimetab Nõukogu Juhatuse liikmete seast Juhatuse esimehe, kes korraldab Juhatuse tegevust.</w:t>
      </w:r>
    </w:p>
    <w:p w14:paraId="2A74AAE3" w14:textId="41BFF717"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Juhatuse koosoleku toimumisest ja selle päevakorrast tuleb Juhatuse liikmetele ette teatada vähemalt 3 (kolm) päeva.</w:t>
      </w:r>
    </w:p>
    <w:p w14:paraId="58CC9656" w14:textId="1A4469CE"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Seltsi võib esindada kõigis õigustoimingutes iga Juhatuse liige. Juhatuse ja selle liikmete õigusi Seltsi esindada võib piirata nõukogu otsusega.</w:t>
      </w:r>
    </w:p>
    <w:p w14:paraId="3BB05335" w14:textId="2E490134"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Põhikirjaga reguleerimata küsimustes juhinduvad Üldkoosolek, Nõukogu ja Juhatus Eesti Vabariigis kehtivatest seadustest ja teistest õigusaktidest.</w:t>
      </w:r>
    </w:p>
    <w:p w14:paraId="7674FCA8" w14:textId="2BA63EDB" w:rsidR="00F735A4" w:rsidRPr="00F73D17" w:rsidRDefault="005A40C1" w:rsidP="00F73D17">
      <w:pPr>
        <w:pStyle w:val="ListParagraph"/>
        <w:numPr>
          <w:ilvl w:val="0"/>
          <w:numId w:val="3"/>
        </w:numPr>
        <w:tabs>
          <w:tab w:val="left" w:pos="720"/>
        </w:tabs>
        <w:spacing w:before="360" w:after="240" w:line="276" w:lineRule="auto"/>
        <w:ind w:hanging="1080"/>
        <w:rPr>
          <w:b/>
          <w:bCs/>
        </w:rPr>
      </w:pPr>
      <w:r w:rsidRPr="00F73D17">
        <w:rPr>
          <w:b/>
          <w:bCs/>
        </w:rPr>
        <w:t>Reservkapital ja muud sätted</w:t>
      </w:r>
    </w:p>
    <w:p w14:paraId="010DA229" w14:textId="3D7A962B"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b/>
        <w:t>Seltsi majandusaasta algab 1. jaanuaril ja lõpeb 31. detsembril.</w:t>
      </w:r>
    </w:p>
    <w:p w14:paraId="0312AC61" w14:textId="43270F9B"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b/>
        <w:t>Reservkapital moodustatakse iga-aastastest puhaskasumi eraldusest, samuti muudest eraldistest, mis kantakse reservkapitali seaduse ja põhikirja alusel. Reservkapitali suuruseks on vähemalt 1/10 aktsiakapitalist.</w:t>
      </w:r>
    </w:p>
    <w:p w14:paraId="7E6BC287" w14:textId="69690763" w:rsidR="00F735A4" w:rsidRPr="00F73D17" w:rsidRDefault="005A40C1" w:rsidP="00F73D17">
      <w:pPr>
        <w:pStyle w:val="ListParagraph"/>
        <w:numPr>
          <w:ilvl w:val="1"/>
          <w:numId w:val="3"/>
        </w:numPr>
        <w:tabs>
          <w:tab w:val="left" w:pos="720"/>
        </w:tabs>
        <w:spacing w:after="120" w:line="276" w:lineRule="auto"/>
        <w:ind w:left="709" w:hanging="709"/>
        <w:jc w:val="both"/>
      </w:pPr>
      <w:r w:rsidRPr="00F73D17">
        <w:tab/>
        <w:t>Aktsionäridele makstakse kinnitatud majandusaasta aruande järgi dividende vastavalt nende aktsiate liigist tulenevatele õigustele ja aktsiate nimiväärtusele.</w:t>
      </w:r>
    </w:p>
    <w:sectPr w:rsidR="00F735A4" w:rsidRPr="00F73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690"/>
    <w:multiLevelType w:val="multilevel"/>
    <w:tmpl w:val="723AB8B6"/>
    <w:lvl w:ilvl="0">
      <w:start w:val="1"/>
      <w:numFmt w:val="decimal"/>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C76600"/>
    <w:multiLevelType w:val="hybridMultilevel"/>
    <w:tmpl w:val="D3F6292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69213D"/>
    <w:multiLevelType w:val="hybridMultilevel"/>
    <w:tmpl w:val="C764CE40"/>
    <w:lvl w:ilvl="0" w:tplc="07C6B48A">
      <w:start w:val="1"/>
      <w:numFmt w:val="bullet"/>
      <w:lvlText w:val="●"/>
      <w:lvlJc w:val="left"/>
      <w:pPr>
        <w:ind w:left="720" w:hanging="360"/>
      </w:pPr>
    </w:lvl>
    <w:lvl w:ilvl="1" w:tplc="C986BCA8">
      <w:start w:val="1"/>
      <w:numFmt w:val="bullet"/>
      <w:lvlText w:val="○"/>
      <w:lvlJc w:val="left"/>
      <w:pPr>
        <w:ind w:left="1440" w:hanging="360"/>
      </w:pPr>
    </w:lvl>
    <w:lvl w:ilvl="2" w:tplc="FF121918">
      <w:start w:val="1"/>
      <w:numFmt w:val="bullet"/>
      <w:lvlText w:val="■"/>
      <w:lvlJc w:val="left"/>
      <w:pPr>
        <w:ind w:left="2160" w:hanging="360"/>
      </w:pPr>
    </w:lvl>
    <w:lvl w:ilvl="3" w:tplc="F0FCABBC">
      <w:start w:val="1"/>
      <w:numFmt w:val="bullet"/>
      <w:lvlText w:val="●"/>
      <w:lvlJc w:val="left"/>
      <w:pPr>
        <w:ind w:left="2880" w:hanging="360"/>
      </w:pPr>
    </w:lvl>
    <w:lvl w:ilvl="4" w:tplc="D86A0254">
      <w:start w:val="1"/>
      <w:numFmt w:val="bullet"/>
      <w:lvlText w:val="○"/>
      <w:lvlJc w:val="left"/>
      <w:pPr>
        <w:ind w:left="3600" w:hanging="360"/>
      </w:pPr>
    </w:lvl>
    <w:lvl w:ilvl="5" w:tplc="A6BE6AAA">
      <w:start w:val="1"/>
      <w:numFmt w:val="bullet"/>
      <w:lvlText w:val="■"/>
      <w:lvlJc w:val="left"/>
      <w:pPr>
        <w:ind w:left="4320" w:hanging="360"/>
      </w:pPr>
    </w:lvl>
    <w:lvl w:ilvl="6" w:tplc="738641BC">
      <w:start w:val="1"/>
      <w:numFmt w:val="bullet"/>
      <w:lvlText w:val="●"/>
      <w:lvlJc w:val="left"/>
      <w:pPr>
        <w:ind w:left="5040" w:hanging="360"/>
      </w:pPr>
    </w:lvl>
    <w:lvl w:ilvl="7" w:tplc="59081916">
      <w:start w:val="1"/>
      <w:numFmt w:val="bullet"/>
      <w:lvlText w:val="●"/>
      <w:lvlJc w:val="left"/>
      <w:pPr>
        <w:ind w:left="5760" w:hanging="360"/>
      </w:pPr>
    </w:lvl>
    <w:lvl w:ilvl="8" w:tplc="C4B61E2C">
      <w:start w:val="1"/>
      <w:numFmt w:val="bullet"/>
      <w:lvlText w:val="●"/>
      <w:lvlJc w:val="left"/>
      <w:pPr>
        <w:ind w:left="6480" w:hanging="360"/>
      </w:pPr>
    </w:lvl>
  </w:abstractNum>
  <w:num w:numId="1" w16cid:durableId="1848934289">
    <w:abstractNumId w:val="2"/>
    <w:lvlOverride w:ilvl="0">
      <w:startOverride w:val="1"/>
    </w:lvlOverride>
  </w:num>
  <w:num w:numId="2" w16cid:durableId="1127822409">
    <w:abstractNumId w:val="1"/>
  </w:num>
  <w:num w:numId="3" w16cid:durableId="62686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A4"/>
    <w:rsid w:val="00013204"/>
    <w:rsid w:val="000C68AA"/>
    <w:rsid w:val="001139A8"/>
    <w:rsid w:val="00197C24"/>
    <w:rsid w:val="001F308E"/>
    <w:rsid w:val="0047439E"/>
    <w:rsid w:val="005A40C1"/>
    <w:rsid w:val="00611DF9"/>
    <w:rsid w:val="00730A3A"/>
    <w:rsid w:val="007A6E3F"/>
    <w:rsid w:val="008123C9"/>
    <w:rsid w:val="00817C67"/>
    <w:rsid w:val="00925E97"/>
    <w:rsid w:val="00A05A15"/>
    <w:rsid w:val="00A72C69"/>
    <w:rsid w:val="00B02D5E"/>
    <w:rsid w:val="00B30376"/>
    <w:rsid w:val="00C203E5"/>
    <w:rsid w:val="00C95574"/>
    <w:rsid w:val="00D53615"/>
    <w:rsid w:val="00F735A4"/>
    <w:rsid w:val="00F73D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0F63"/>
  <w15:docId w15:val="{43D77D5C-5F29-4CF9-A5A3-413D8165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81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1522</Words>
  <Characters>8829</Characters>
  <Application>Microsoft Office Word</Application>
  <DocSecurity>0</DocSecurity>
  <Lines>73</Lines>
  <Paragraphs>20</Paragraphs>
  <ScaleCrop>false</ScaleCrop>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TRINITI</cp:lastModifiedBy>
  <cp:revision>5</cp:revision>
  <dcterms:created xsi:type="dcterms:W3CDTF">2026-04-24T10:39:00Z</dcterms:created>
  <dcterms:modified xsi:type="dcterms:W3CDTF">2026-04-24T11:02:00Z</dcterms:modified>
</cp:coreProperties>
</file>